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8040DB">
      <w:pPr>
        <w:keepNext w:val="0"/>
        <w:keepLines w:val="0"/>
        <w:pageBreakBefore w:val="0"/>
        <w:widowControl w:val="0"/>
        <w:kinsoku/>
        <w:wordWrap/>
        <w:overflowPunct/>
        <w:topLinePunct w:val="0"/>
        <w:autoSpaceDE/>
        <w:autoSpaceDN/>
        <w:bidi w:val="0"/>
        <w:adjustRightInd/>
        <w:snapToGrid/>
        <w:spacing w:before="325" w:line="480" w:lineRule="auto"/>
        <w:jc w:val="center"/>
        <w:textAlignment w:val="auto"/>
        <w:outlineLvl w:val="0"/>
        <w:rPr>
          <w:rFonts w:hint="eastAsia" w:ascii="宋体" w:hAnsi="宋体" w:eastAsia="宋体" w:cs="宋体"/>
          <w:b/>
          <w:bCs/>
          <w:color w:val="FF0000"/>
          <w:spacing w:val="45"/>
          <w:w w:val="50"/>
          <w:kern w:val="2"/>
          <w:position w:val="0"/>
          <w:sz w:val="112"/>
          <w:szCs w:val="112"/>
          <w:lang w:eastAsia="zh-CN"/>
          <w14:textOutline w14:w="18179" w14:cap="sq" w14:cmpd="sng">
            <w14:solidFill>
              <w14:srgbClr w14:val="FF0000"/>
            </w14:solidFill>
            <w14:prstDash w14:val="solid"/>
            <w14:bevel/>
          </w14:textOutline>
        </w:rPr>
      </w:pPr>
      <w:r>
        <w:rPr>
          <w:rFonts w:hint="eastAsia" w:ascii="宋体" w:hAnsi="宋体" w:eastAsia="宋体" w:cs="宋体"/>
          <w:b/>
          <w:bCs/>
          <w:color w:val="FF0000"/>
          <w:spacing w:val="45"/>
          <w:w w:val="50"/>
          <w:kern w:val="2"/>
          <w:position w:val="0"/>
          <w:sz w:val="112"/>
          <w:szCs w:val="112"/>
          <w:lang w:eastAsia="zh-CN"/>
          <w14:textOutline w14:w="18179" w14:cap="sq" w14:cmpd="sng">
            <w14:solidFill>
              <w14:srgbClr w14:val="FF0000"/>
            </w14:solidFill>
            <w14:prstDash w14:val="solid"/>
            <w14:bevel/>
          </w14:textOutline>
        </w:rPr>
        <w:t>赣州市工贸科技中等职业学校</w:t>
      </w:r>
    </w:p>
    <w:p w14:paraId="78E2B39A">
      <w:pPr>
        <w:keepNext w:val="0"/>
        <w:keepLines w:val="0"/>
        <w:pageBreakBefore w:val="0"/>
        <w:widowControl w:val="0"/>
        <w:kinsoku/>
        <w:wordWrap/>
        <w:overflowPunct/>
        <w:topLinePunct w:val="0"/>
        <w:autoSpaceDE/>
        <w:autoSpaceDN/>
        <w:bidi w:val="0"/>
        <w:adjustRightInd/>
        <w:snapToGrid/>
        <w:spacing w:before="313" w:beforeLines="100" w:after="313" w:afterLines="100" w:line="400" w:lineRule="exact"/>
        <w:jc w:val="center"/>
        <w:textAlignment w:val="auto"/>
        <w:outlineLvl w:val="0"/>
        <w:rPr>
          <w:rFonts w:hint="eastAsia" w:ascii="仿宋_GB2312" w:hAnsi="仿宋_GB2312" w:eastAsia="仿宋_GB2312" w:cs="仿宋_GB2312"/>
          <w:b w:val="0"/>
          <w:bCs w:val="0"/>
          <w:color w:val="auto"/>
          <w:spacing w:val="17"/>
          <w:kern w:val="4"/>
          <w:sz w:val="32"/>
          <w:szCs w:val="32"/>
          <w:lang w:val="en-US" w:eastAsia="zh-CN"/>
        </w:rPr>
      </w:pPr>
      <w:r>
        <w:rPr>
          <w:rFonts w:hint="eastAsia" w:ascii="仿宋_GB2312" w:hAnsi="仿宋_GB2312" w:eastAsia="仿宋_GB2312" w:cs="仿宋_GB2312"/>
          <w:b w:val="0"/>
          <w:bCs w:val="0"/>
          <w:color w:val="auto"/>
          <w:spacing w:val="17"/>
          <w:kern w:val="4"/>
          <w:sz w:val="32"/>
          <w:szCs w:val="32"/>
          <w:lang w:eastAsia="zh-CN"/>
        </w:rPr>
        <w:t>工贸校字〔</w:t>
      </w:r>
      <w:r>
        <w:rPr>
          <w:rFonts w:hint="eastAsia" w:ascii="仿宋_GB2312" w:hAnsi="仿宋_GB2312" w:eastAsia="仿宋_GB2312" w:cs="仿宋_GB2312"/>
          <w:b w:val="0"/>
          <w:bCs w:val="0"/>
          <w:color w:val="auto"/>
          <w:spacing w:val="17"/>
          <w:kern w:val="4"/>
          <w:sz w:val="32"/>
          <w:szCs w:val="32"/>
          <w:lang w:val="en-US" w:eastAsia="zh-CN"/>
        </w:rPr>
        <w:t>2026</w:t>
      </w:r>
      <w:r>
        <w:rPr>
          <w:rFonts w:hint="eastAsia" w:ascii="仿宋_GB2312" w:hAnsi="仿宋_GB2312" w:eastAsia="仿宋_GB2312" w:cs="仿宋_GB2312"/>
          <w:b w:val="0"/>
          <w:bCs w:val="0"/>
          <w:color w:val="auto"/>
          <w:spacing w:val="17"/>
          <w:kern w:val="4"/>
          <w:sz w:val="32"/>
          <w:szCs w:val="32"/>
          <w:lang w:eastAsia="zh-CN"/>
        </w:rPr>
        <w:t>〕</w:t>
      </w:r>
      <w:r>
        <w:rPr>
          <w:rFonts w:hint="eastAsia" w:ascii="仿宋_GB2312" w:hAnsi="仿宋_GB2312" w:eastAsia="仿宋_GB2312" w:cs="仿宋_GB2312"/>
          <w:b w:val="0"/>
          <w:bCs w:val="0"/>
          <w:color w:val="auto"/>
          <w:spacing w:val="17"/>
          <w:kern w:val="4"/>
          <w:sz w:val="32"/>
          <w:szCs w:val="32"/>
          <w:lang w:val="en-US" w:eastAsia="zh-CN"/>
        </w:rPr>
        <w:t>03号</w:t>
      </w:r>
    </w:p>
    <w:p w14:paraId="5319C4C9">
      <w:pPr>
        <w:spacing w:line="33" w:lineRule="exact"/>
        <w:ind w:firstLine="33"/>
        <w:textAlignment w:val="center"/>
        <w:rPr>
          <w:rFonts w:hint="eastAsia" w:ascii="方正公文小标宋" w:hAnsi="方正公文小标宋" w:eastAsia="方正公文小标宋" w:cs="方正公文小标宋"/>
          <w:sz w:val="44"/>
          <w:szCs w:val="44"/>
          <w:shd w:val="clear" w:fill="FFFFFF"/>
        </w:rPr>
      </w:pPr>
      <w:r>
        <mc:AlternateContent>
          <mc:Choice Requires="wps">
            <w:drawing>
              <wp:inline distT="0" distB="0" distL="114300" distR="114300">
                <wp:extent cx="5420995" cy="21590"/>
                <wp:effectExtent l="0" t="0" r="8255" b="6985"/>
                <wp:docPr id="1" name="任意多边形 1"/>
                <wp:cNvGraphicFramePr/>
                <a:graphic xmlns:a="http://schemas.openxmlformats.org/drawingml/2006/main">
                  <a:graphicData uri="http://schemas.microsoft.com/office/word/2010/wordprocessingShape">
                    <wps:wsp>
                      <wps:cNvSpPr/>
                      <wps:spPr>
                        <a:xfrm>
                          <a:off x="0" y="0"/>
                          <a:ext cx="5420995" cy="21590"/>
                        </a:xfrm>
                        <a:custGeom>
                          <a:avLst/>
                          <a:gdLst/>
                          <a:ahLst/>
                          <a:cxnLst/>
                          <a:pathLst>
                            <a:path w="8537" h="34">
                              <a:moveTo>
                                <a:pt x="0" y="0"/>
                              </a:moveTo>
                              <a:lnTo>
                                <a:pt x="0" y="33"/>
                              </a:lnTo>
                              <a:lnTo>
                                <a:pt x="8536" y="33"/>
                              </a:lnTo>
                              <a:lnTo>
                                <a:pt x="8536" y="0"/>
                              </a:lnTo>
                              <a:lnTo>
                                <a:pt x="0" y="0"/>
                              </a:lnTo>
                            </a:path>
                          </a:pathLst>
                        </a:custGeom>
                        <a:solidFill>
                          <a:srgbClr val="FF0000"/>
                        </a:solidFill>
                        <a:ln>
                          <a:noFill/>
                        </a:ln>
                      </wps:spPr>
                      <wps:bodyPr upright="1"/>
                    </wps:wsp>
                  </a:graphicData>
                </a:graphic>
              </wp:inline>
            </w:drawing>
          </mc:Choice>
          <mc:Fallback>
            <w:pict>
              <v:shape id="_x0000_s1026" o:spid="_x0000_s1026" o:spt="100" style="height:1.7pt;width:426.85pt;" fillcolor="#FF0000" filled="t" stroked="f" coordsize="8537,34" o:gfxdata="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Cc7bJT1QAAAAMBAAAPAAAAAAAAAAEA&#10;IAAAACIAAABkcnMvZG93bnJldi54bWxQSwECFAAUAAAACACHTuJA99rCEBICAAByBAAADgAAAAAA&#10;AAABACAAAAAkAQAAZHJzL2Uyb0RvYy54bWxQSwUGAAAAAAYABgBZAQAAqAUAAAAA&#10;" path="m0,0l0,33,8536,33,8536,0,0,0e">
                <v:fill on="t" focussize="0,0"/>
                <v:stroke on="f"/>
                <v:imagedata o:title=""/>
                <o:lock v:ext="edit" aspectratio="f"/>
                <w10:wrap type="none"/>
                <w10:anchorlock/>
              </v:shape>
            </w:pict>
          </mc:Fallback>
        </mc:AlternateContent>
      </w:r>
    </w:p>
    <w:p w14:paraId="24CFAF83">
      <w:pPr>
        <w:spacing w:line="660" w:lineRule="exact"/>
        <w:jc w:val="center"/>
        <w:rPr>
          <w:rFonts w:eastAsia="方正小标宋简体"/>
          <w:b/>
          <w:color w:val="000000"/>
          <w:sz w:val="44"/>
          <w:szCs w:val="44"/>
        </w:rPr>
      </w:pPr>
    </w:p>
    <w:p w14:paraId="3C89D869">
      <w:pPr>
        <w:spacing w:line="660" w:lineRule="exact"/>
        <w:jc w:val="center"/>
        <w:rPr>
          <w:rFonts w:eastAsia="方正小标宋简体"/>
          <w:b/>
          <w:color w:val="000000"/>
          <w:sz w:val="44"/>
          <w:szCs w:val="44"/>
        </w:rPr>
      </w:pPr>
      <w:r>
        <w:rPr>
          <w:rFonts w:eastAsia="方正小标宋简体"/>
          <w:b/>
          <w:color w:val="000000"/>
          <w:sz w:val="44"/>
          <w:szCs w:val="44"/>
        </w:rPr>
        <w:t>关于我校202</w:t>
      </w:r>
      <w:r>
        <w:rPr>
          <w:rFonts w:hint="eastAsia" w:eastAsia="方正小标宋简体"/>
          <w:b/>
          <w:color w:val="000000"/>
          <w:sz w:val="44"/>
          <w:szCs w:val="44"/>
          <w:lang w:val="en-US" w:eastAsia="zh-CN"/>
        </w:rPr>
        <w:t>6</w:t>
      </w:r>
      <w:r>
        <w:rPr>
          <w:rFonts w:eastAsia="方正小标宋简体"/>
          <w:b/>
          <w:color w:val="000000"/>
          <w:sz w:val="44"/>
          <w:szCs w:val="44"/>
        </w:rPr>
        <w:t>年新增专业收费项目</w:t>
      </w:r>
    </w:p>
    <w:p w14:paraId="65160CEB">
      <w:pPr>
        <w:spacing w:line="660" w:lineRule="exact"/>
        <w:jc w:val="center"/>
        <w:rPr>
          <w:rFonts w:eastAsia="方正小标宋简体"/>
          <w:b/>
          <w:color w:val="000000"/>
          <w:sz w:val="44"/>
          <w:szCs w:val="44"/>
        </w:rPr>
      </w:pPr>
      <w:r>
        <w:rPr>
          <w:rFonts w:eastAsia="方正小标宋简体"/>
          <w:b/>
          <w:color w:val="000000"/>
          <w:sz w:val="44"/>
          <w:szCs w:val="44"/>
        </w:rPr>
        <w:t>和提高原有专业收费标准的实施方案</w:t>
      </w:r>
    </w:p>
    <w:p w14:paraId="30B200B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公文小标宋" w:hAnsi="方正公文小标宋" w:eastAsia="方正公文小标宋" w:cs="方正公文小标宋"/>
          <w:sz w:val="44"/>
          <w:szCs w:val="44"/>
          <w:lang w:eastAsia="zh-CN"/>
        </w:rPr>
      </w:pPr>
    </w:p>
    <w:p w14:paraId="281CA44D">
      <w:pPr>
        <w:adjustRightInd w:val="0"/>
        <w:snapToGrid w:val="0"/>
        <w:spacing w:line="560" w:lineRule="exact"/>
        <w:rPr>
          <w:rFonts w:eastAsia="仿宋"/>
          <w:b/>
          <w:bCs/>
          <w:color w:val="000000"/>
          <w:sz w:val="32"/>
          <w:szCs w:val="32"/>
        </w:rPr>
      </w:pPr>
      <w:r>
        <w:rPr>
          <w:rFonts w:eastAsia="仿宋"/>
          <w:b/>
          <w:bCs/>
          <w:color w:val="000000"/>
          <w:sz w:val="32"/>
          <w:szCs w:val="32"/>
        </w:rPr>
        <w:t>赣州蓉江新区社管局、经发局、市监分局：</w:t>
      </w:r>
    </w:p>
    <w:p w14:paraId="60D5DBA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赣州旅游职业学校创办于2006年，是经省教育厅备</w:t>
      </w:r>
      <w:bookmarkStart w:id="0" w:name="_GoBack"/>
      <w:bookmarkEnd w:id="0"/>
      <w:r>
        <w:rPr>
          <w:rFonts w:hint="eastAsia" w:ascii="仿宋_GB2312" w:hAnsi="仿宋_GB2312" w:eastAsia="仿宋_GB2312" w:cs="仿宋_GB2312"/>
          <w:color w:val="000000"/>
          <w:sz w:val="32"/>
          <w:szCs w:val="32"/>
        </w:rPr>
        <w:t>案、市教育局直属的一所全日制民办中职学校；学校于20</w:t>
      </w:r>
      <w:r>
        <w:rPr>
          <w:rFonts w:hint="eastAsia" w:ascii="仿宋_GB2312" w:hAnsi="仿宋_GB2312" w:eastAsia="仿宋_GB2312" w:cs="仿宋_GB2312"/>
          <w:color w:val="000000"/>
          <w:sz w:val="32"/>
          <w:szCs w:val="32"/>
          <w:lang w:val="en-US" w:eastAsia="zh-CN"/>
        </w:rPr>
        <w:t>25</w:t>
      </w:r>
      <w:r>
        <w:rPr>
          <w:rFonts w:hint="eastAsia" w:ascii="仿宋_GB2312" w:hAnsi="仿宋_GB2312" w:eastAsia="仿宋_GB2312" w:cs="仿宋_GB2312"/>
          <w:color w:val="000000"/>
          <w:sz w:val="32"/>
          <w:szCs w:val="32"/>
        </w:rPr>
        <w:t>年经省教育厅</w:t>
      </w:r>
      <w:r>
        <w:rPr>
          <w:rFonts w:hint="eastAsia" w:ascii="仿宋_GB2312" w:hAnsi="仿宋_GB2312" w:eastAsia="仿宋_GB2312" w:cs="仿宋_GB2312"/>
          <w:color w:val="000000"/>
          <w:sz w:val="32"/>
          <w:szCs w:val="32"/>
          <w:lang w:eastAsia="zh-CN"/>
        </w:rPr>
        <w:t>分级评定</w:t>
      </w:r>
      <w:r>
        <w:rPr>
          <w:rFonts w:hint="eastAsia" w:ascii="仿宋_GB2312" w:hAnsi="仿宋_GB2312" w:eastAsia="仿宋_GB2312" w:cs="仿宋_GB2312"/>
          <w:color w:val="000000"/>
          <w:sz w:val="32"/>
          <w:szCs w:val="32"/>
        </w:rPr>
        <w:t>为</w:t>
      </w:r>
      <w:r>
        <w:rPr>
          <w:rFonts w:hint="eastAsia" w:ascii="仿宋_GB2312" w:hAnsi="仿宋_GB2312" w:eastAsia="仿宋_GB2312" w:cs="仿宋_GB2312"/>
          <w:color w:val="000000"/>
          <w:sz w:val="32"/>
          <w:szCs w:val="32"/>
          <w:lang w:val="en-US" w:eastAsia="zh-CN"/>
        </w:rPr>
        <w:t>B档</w:t>
      </w:r>
      <w:r>
        <w:rPr>
          <w:rFonts w:hint="eastAsia" w:ascii="仿宋_GB2312" w:hAnsi="仿宋_GB2312" w:eastAsia="仿宋_GB2312" w:cs="仿宋_GB2312"/>
          <w:color w:val="000000"/>
          <w:sz w:val="32"/>
          <w:szCs w:val="32"/>
        </w:rPr>
        <w:t>中等职业学校。学校开设了旅游服务与管理、中餐烹饪、电子商务、会计事务、美容美体艺术、绘画等十多个专业。学校现有在籍学生</w:t>
      </w:r>
      <w:r>
        <w:rPr>
          <w:rFonts w:hint="eastAsia" w:ascii="仿宋_GB2312" w:hAnsi="仿宋_GB2312" w:eastAsia="仿宋_GB2312" w:cs="仿宋_GB2312"/>
          <w:color w:val="000000"/>
          <w:sz w:val="32"/>
          <w:szCs w:val="32"/>
          <w:lang w:val="en-US" w:eastAsia="zh-CN"/>
        </w:rPr>
        <w:t>2000</w:t>
      </w:r>
      <w:r>
        <w:rPr>
          <w:rFonts w:hint="eastAsia" w:ascii="仿宋_GB2312" w:hAnsi="仿宋_GB2312" w:eastAsia="仿宋_GB2312" w:cs="仿宋_GB2312"/>
          <w:color w:val="000000"/>
          <w:sz w:val="32"/>
          <w:szCs w:val="32"/>
        </w:rPr>
        <w:t>人，教职员工</w:t>
      </w:r>
      <w:r>
        <w:rPr>
          <w:rFonts w:hint="eastAsia" w:ascii="仿宋_GB2312" w:hAnsi="仿宋_GB2312" w:eastAsia="仿宋_GB2312" w:cs="仿宋_GB2312"/>
          <w:color w:val="000000"/>
          <w:sz w:val="32"/>
          <w:szCs w:val="32"/>
          <w:lang w:val="en-US" w:eastAsia="zh-CN"/>
        </w:rPr>
        <w:t>132</w:t>
      </w:r>
      <w:r>
        <w:rPr>
          <w:rFonts w:hint="eastAsia" w:ascii="仿宋_GB2312" w:hAnsi="仿宋_GB2312" w:eastAsia="仿宋_GB2312" w:cs="仿宋_GB2312"/>
          <w:color w:val="000000"/>
          <w:sz w:val="32"/>
          <w:szCs w:val="32"/>
        </w:rPr>
        <w:t>人。</w:t>
      </w:r>
    </w:p>
    <w:p w14:paraId="276B283A">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收费基本情况</w:t>
      </w:r>
    </w:p>
    <w:p w14:paraId="6587D7B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学校自202</w:t>
      </w:r>
      <w:r>
        <w:rPr>
          <w:rFonts w:hint="eastAsia" w:ascii="仿宋_GB2312" w:hAnsi="仿宋_GB2312" w:eastAsia="仿宋_GB2312" w:cs="仿宋_GB2312"/>
          <w:color w:val="000000"/>
          <w:sz w:val="32"/>
          <w:szCs w:val="32"/>
          <w:lang w:val="en-US" w:eastAsia="zh-CN"/>
        </w:rPr>
        <w:t>4</w:t>
      </w:r>
      <w:r>
        <w:rPr>
          <w:rFonts w:hint="eastAsia" w:ascii="仿宋_GB2312" w:hAnsi="仿宋_GB2312" w:eastAsia="仿宋_GB2312" w:cs="仿宋_GB2312"/>
          <w:color w:val="000000"/>
          <w:sz w:val="32"/>
          <w:szCs w:val="32"/>
        </w:rPr>
        <w:t>年秋季开始，学生原有</w:t>
      </w:r>
      <w:r>
        <w:rPr>
          <w:rFonts w:ascii="Times New Roman" w:hAnsi="Times New Roman" w:eastAsia="仿宋" w:cs="Times New Roman"/>
          <w:color w:val="000000"/>
          <w:sz w:val="32"/>
          <w:szCs w:val="32"/>
        </w:rPr>
        <w:t>电子商务、</w:t>
      </w:r>
      <w:r>
        <w:rPr>
          <w:rFonts w:hint="eastAsia" w:ascii="Times New Roman" w:hAnsi="Times New Roman" w:eastAsia="仿宋" w:cs="Times New Roman"/>
          <w:color w:val="000000"/>
          <w:sz w:val="32"/>
          <w:szCs w:val="32"/>
          <w:lang w:eastAsia="zh-CN"/>
        </w:rPr>
        <w:t>直播电商服务、</w:t>
      </w:r>
      <w:r>
        <w:rPr>
          <w:rFonts w:ascii="Times New Roman" w:hAnsi="Times New Roman" w:eastAsia="仿宋" w:cs="Times New Roman"/>
          <w:color w:val="000000"/>
          <w:sz w:val="32"/>
          <w:szCs w:val="32"/>
        </w:rPr>
        <w:t>会计事务、旅游服务与管理、高星级酒店运营与管理、美容美体艺术、</w:t>
      </w:r>
      <w:r>
        <w:rPr>
          <w:rFonts w:hint="eastAsia" w:ascii="Times New Roman" w:hAnsi="Times New Roman" w:eastAsia="仿宋" w:cs="Times New Roman"/>
          <w:color w:val="000000"/>
          <w:sz w:val="32"/>
          <w:szCs w:val="32"/>
          <w:lang w:eastAsia="zh-CN"/>
        </w:rPr>
        <w:t>美发与形象设计、</w:t>
      </w:r>
      <w:r>
        <w:rPr>
          <w:rFonts w:ascii="Times New Roman" w:hAnsi="Times New Roman" w:eastAsia="仿宋" w:cs="Times New Roman"/>
          <w:color w:val="000000"/>
          <w:sz w:val="32"/>
          <w:szCs w:val="32"/>
        </w:rPr>
        <w:t>绘画、音乐表演、舞蹈表演1</w:t>
      </w:r>
      <w:r>
        <w:rPr>
          <w:rFonts w:hint="eastAsia" w:ascii="Times New Roman" w:hAnsi="Times New Roman" w:eastAsia="仿宋" w:cs="Times New Roman"/>
          <w:color w:val="000000"/>
          <w:sz w:val="32"/>
          <w:szCs w:val="32"/>
          <w:lang w:val="en-US" w:eastAsia="zh-CN"/>
        </w:rPr>
        <w:t>0</w:t>
      </w:r>
      <w:r>
        <w:rPr>
          <w:rFonts w:ascii="Times New Roman" w:hAnsi="Times New Roman" w:eastAsia="仿宋" w:cs="Times New Roman"/>
          <w:color w:val="000000"/>
          <w:sz w:val="32"/>
          <w:szCs w:val="32"/>
        </w:rPr>
        <w:t>个原有专业收费标准</w:t>
      </w:r>
      <w:r>
        <w:rPr>
          <w:rFonts w:hint="eastAsia" w:ascii="Times New Roman" w:hAnsi="Times New Roman" w:eastAsia="仿宋" w:cs="Times New Roman"/>
          <w:color w:val="000000"/>
          <w:sz w:val="32"/>
          <w:szCs w:val="32"/>
          <w:lang w:eastAsia="zh-CN"/>
        </w:rPr>
        <w:t>为</w:t>
      </w:r>
      <w:r>
        <w:rPr>
          <w:rFonts w:hint="eastAsia" w:ascii="Times New Roman" w:hAnsi="Times New Roman" w:eastAsia="仿宋" w:cs="Times New Roman"/>
          <w:color w:val="000000"/>
          <w:sz w:val="32"/>
          <w:szCs w:val="32"/>
          <w:highlight w:val="none"/>
          <w:lang w:val="en-US" w:eastAsia="zh-CN"/>
        </w:rPr>
        <w:t>5270</w:t>
      </w:r>
      <w:r>
        <w:rPr>
          <w:rFonts w:ascii="Times New Roman" w:hAnsi="Times New Roman" w:eastAsia="仿宋" w:cs="Times New Roman"/>
          <w:color w:val="000000"/>
          <w:sz w:val="32"/>
          <w:szCs w:val="32"/>
        </w:rPr>
        <w:t>元/年</w:t>
      </w:r>
      <w:r>
        <w:rPr>
          <w:rFonts w:hint="eastAsia" w:ascii="Times New Roman" w:hAnsi="Times New Roman" w:eastAsia="仿宋" w:cs="Times New Roman"/>
          <w:color w:val="000000"/>
          <w:sz w:val="32"/>
          <w:szCs w:val="32"/>
          <w:lang w:val="en-US" w:eastAsia="zh-CN"/>
        </w:rPr>
        <w:t>；网络营销、中餐烹饪、中西面点、动漫与游戏设计</w:t>
      </w:r>
      <w:r>
        <w:rPr>
          <w:rFonts w:ascii="Times New Roman" w:hAnsi="Times New Roman" w:eastAsia="仿宋" w:cs="Times New Roman"/>
          <w:color w:val="000000"/>
          <w:sz w:val="32"/>
          <w:szCs w:val="32"/>
        </w:rPr>
        <w:t>收费标准</w:t>
      </w:r>
      <w:r>
        <w:rPr>
          <w:rFonts w:hint="eastAsia" w:ascii="Times New Roman" w:hAnsi="Times New Roman" w:eastAsia="仿宋" w:cs="Times New Roman"/>
          <w:color w:val="000000"/>
          <w:sz w:val="32"/>
          <w:szCs w:val="32"/>
          <w:lang w:eastAsia="zh-CN"/>
        </w:rPr>
        <w:t>为</w:t>
      </w:r>
      <w:r>
        <w:rPr>
          <w:rFonts w:hint="eastAsia" w:ascii="Times New Roman" w:hAnsi="Times New Roman" w:eastAsia="仿宋" w:cs="Times New Roman"/>
          <w:color w:val="000000"/>
          <w:sz w:val="32"/>
          <w:szCs w:val="32"/>
          <w:highlight w:val="none"/>
          <w:lang w:val="en-US" w:eastAsia="zh-CN"/>
        </w:rPr>
        <w:t>7070</w:t>
      </w:r>
      <w:r>
        <w:rPr>
          <w:rFonts w:ascii="Times New Roman" w:hAnsi="Times New Roman" w:eastAsia="仿宋" w:cs="Times New Roman"/>
          <w:color w:val="000000"/>
          <w:sz w:val="32"/>
          <w:szCs w:val="32"/>
        </w:rPr>
        <w:t>元/年</w:t>
      </w:r>
      <w:r>
        <w:rPr>
          <w:rFonts w:hint="eastAsia" w:ascii="Times New Roman" w:hAnsi="Times New Roman" w:eastAsia="仿宋" w:cs="Times New Roman"/>
          <w:color w:val="000000"/>
          <w:sz w:val="32"/>
          <w:szCs w:val="32"/>
          <w:lang w:eastAsia="zh-CN"/>
        </w:rPr>
        <w:t>，界面设计与制作</w:t>
      </w:r>
      <w:r>
        <w:rPr>
          <w:rFonts w:ascii="Times New Roman" w:hAnsi="Times New Roman" w:eastAsia="仿宋" w:cs="Times New Roman"/>
          <w:color w:val="000000"/>
          <w:sz w:val="32"/>
          <w:szCs w:val="32"/>
        </w:rPr>
        <w:t>收费标准</w:t>
      </w:r>
      <w:r>
        <w:rPr>
          <w:rFonts w:hint="eastAsia" w:ascii="Times New Roman" w:hAnsi="Times New Roman" w:eastAsia="仿宋" w:cs="Times New Roman"/>
          <w:color w:val="000000"/>
          <w:sz w:val="32"/>
          <w:szCs w:val="32"/>
          <w:highlight w:val="none"/>
          <w:lang w:val="en-US" w:eastAsia="zh-CN"/>
        </w:rPr>
        <w:t>5400</w:t>
      </w:r>
      <w:r>
        <w:rPr>
          <w:rFonts w:ascii="Times New Roman" w:hAnsi="Times New Roman" w:eastAsia="仿宋" w:cs="Times New Roman"/>
          <w:color w:val="000000"/>
          <w:sz w:val="32"/>
          <w:szCs w:val="32"/>
        </w:rPr>
        <w:t>元/</w:t>
      </w:r>
      <w:r>
        <w:rPr>
          <w:rFonts w:hint="eastAsia" w:ascii="Times New Roman" w:hAnsi="Times New Roman" w:eastAsia="仿宋" w:cs="Times New Roman"/>
          <w:color w:val="000000"/>
          <w:sz w:val="32"/>
          <w:szCs w:val="32"/>
          <w:lang w:eastAsia="zh-CN"/>
        </w:rPr>
        <w:t>学期</w:t>
      </w:r>
      <w:r>
        <w:rPr>
          <w:rFonts w:hint="eastAsia" w:ascii="仿宋_GB2312" w:hAnsi="仿宋_GB2312" w:eastAsia="仿宋_GB2312" w:cs="仿宋_GB2312"/>
          <w:color w:val="000000"/>
          <w:sz w:val="32"/>
          <w:szCs w:val="32"/>
        </w:rPr>
        <w:t>。我校收费标准在全市民办职校中偏低，难以维持学校正常运转,已经制约了学校的发展。近年来，学校不断增加教学设备和实训器材，不断提高教师薪酬待遇；学校质量建设持续推进，办学成本大幅增加。为提高办学质量，保障办学投入，培养合格人才，必须调整原有专业收费标准。同时现有专业难以满足家长、学生和市场的需求，根据市场需求和地方经济发展实际，结合我校现有办学条件和师资配备情况，我校202</w:t>
      </w:r>
      <w:r>
        <w:rPr>
          <w:rFonts w:hint="eastAsia" w:ascii="仿宋_GB2312" w:hAnsi="仿宋_GB2312" w:eastAsia="仿宋_GB2312" w:cs="仿宋_GB2312"/>
          <w:color w:val="000000"/>
          <w:sz w:val="32"/>
          <w:szCs w:val="32"/>
          <w:lang w:val="en-US" w:eastAsia="zh-CN"/>
        </w:rPr>
        <w:t>6</w:t>
      </w:r>
      <w:r>
        <w:rPr>
          <w:rFonts w:hint="eastAsia" w:ascii="仿宋_GB2312" w:hAnsi="仿宋_GB2312" w:eastAsia="仿宋_GB2312" w:cs="仿宋_GB2312"/>
          <w:color w:val="000000"/>
          <w:sz w:val="32"/>
          <w:szCs w:val="32"/>
        </w:rPr>
        <w:t>年申请新增专业</w:t>
      </w:r>
      <w:r>
        <w:rPr>
          <w:rFonts w:hint="eastAsia" w:ascii="仿宋_GB2312" w:hAnsi="仿宋_GB2312" w:eastAsia="仿宋_GB2312" w:cs="仿宋_GB2312"/>
          <w:color w:val="000000"/>
          <w:sz w:val="32"/>
          <w:szCs w:val="32"/>
          <w:lang w:eastAsia="zh-CN"/>
        </w:rPr>
        <w:t>两个</w:t>
      </w:r>
      <w:r>
        <w:rPr>
          <w:rFonts w:hint="eastAsia" w:ascii="仿宋_GB2312" w:hAnsi="仿宋_GB2312" w:eastAsia="仿宋_GB2312" w:cs="仿宋_GB2312"/>
          <w:color w:val="000000"/>
          <w:sz w:val="32"/>
          <w:szCs w:val="32"/>
        </w:rPr>
        <w:t>个：无人机操控与维护、新能源汽车制造与检测。</w:t>
      </w:r>
    </w:p>
    <w:p w14:paraId="4779BD22">
      <w:pPr>
        <w:pStyle w:val="6"/>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二、202</w:t>
      </w:r>
      <w:r>
        <w:rPr>
          <w:rFonts w:hint="eastAsia" w:ascii="仿宋_GB2312" w:hAnsi="仿宋_GB2312" w:eastAsia="仿宋_GB2312" w:cs="仿宋_GB2312"/>
          <w:color w:val="000000"/>
          <w:sz w:val="32"/>
          <w:szCs w:val="32"/>
          <w:lang w:val="en-US" w:eastAsia="zh-CN"/>
        </w:rPr>
        <w:t>6</w:t>
      </w:r>
      <w:r>
        <w:rPr>
          <w:rFonts w:hint="eastAsia" w:ascii="仿宋_GB2312" w:hAnsi="仿宋_GB2312" w:eastAsia="仿宋_GB2312" w:cs="仿宋_GB2312"/>
          <w:color w:val="000000"/>
          <w:sz w:val="32"/>
          <w:szCs w:val="32"/>
        </w:rPr>
        <w:t>年新增专业收费项目和提高原有专业收费标准</w:t>
      </w:r>
    </w:p>
    <w:p w14:paraId="2D9ED1F8">
      <w:pPr>
        <w:pStyle w:val="3"/>
        <w:shd w:val="clear" w:color="auto" w:fill="FFFFFF"/>
        <w:adjustRightInd w:val="0"/>
        <w:snapToGrid w:val="0"/>
        <w:spacing w:before="0" w:beforeAutospacing="0" w:after="0" w:afterAutospacing="0" w:line="560" w:lineRule="exact"/>
        <w:ind w:firstLine="640" w:firstLineChars="200"/>
        <w:rPr>
          <w:rFonts w:ascii="Times New Roman" w:hAnsi="Times New Roman" w:eastAsia="仿宋" w:cs="Times New Roman"/>
          <w:color w:val="000000"/>
          <w:sz w:val="32"/>
          <w:szCs w:val="32"/>
        </w:rPr>
      </w:pPr>
      <w:r>
        <w:rPr>
          <w:rFonts w:hint="eastAsia" w:ascii="仿宋_GB2312" w:hAnsi="仿宋_GB2312" w:eastAsia="仿宋_GB2312" w:cs="仿宋_GB2312"/>
          <w:color w:val="000000"/>
          <w:sz w:val="32"/>
          <w:szCs w:val="32"/>
        </w:rPr>
        <w:t>根据《赣州旅游职业学校202</w:t>
      </w:r>
      <w:r>
        <w:rPr>
          <w:rFonts w:hint="eastAsia" w:ascii="仿宋_GB2312" w:hAnsi="仿宋_GB2312" w:eastAsia="仿宋_GB2312" w:cs="仿宋_GB2312"/>
          <w:color w:val="000000"/>
          <w:sz w:val="32"/>
          <w:szCs w:val="32"/>
          <w:lang w:val="en-US" w:eastAsia="zh-CN"/>
        </w:rPr>
        <w:t>4</w:t>
      </w:r>
      <w:r>
        <w:rPr>
          <w:rFonts w:hint="eastAsia" w:ascii="仿宋_GB2312" w:hAnsi="仿宋_GB2312" w:eastAsia="仿宋_GB2312" w:cs="仿宋_GB2312"/>
          <w:color w:val="000000"/>
          <w:sz w:val="32"/>
          <w:szCs w:val="32"/>
        </w:rPr>
        <w:t>-202</w:t>
      </w:r>
      <w:r>
        <w:rPr>
          <w:rFonts w:hint="eastAsia" w:ascii="仿宋_GB2312" w:hAnsi="仿宋_GB2312" w:eastAsia="仿宋_GB2312" w:cs="仿宋_GB2312"/>
          <w:color w:val="000000"/>
          <w:sz w:val="32"/>
          <w:szCs w:val="32"/>
          <w:lang w:val="en-US" w:eastAsia="zh-CN"/>
        </w:rPr>
        <w:t>6</w:t>
      </w:r>
      <w:r>
        <w:rPr>
          <w:rFonts w:hint="eastAsia" w:ascii="仿宋_GB2312" w:hAnsi="仿宋_GB2312" w:eastAsia="仿宋_GB2312" w:cs="仿宋_GB2312"/>
          <w:color w:val="000000"/>
          <w:sz w:val="32"/>
          <w:szCs w:val="32"/>
        </w:rPr>
        <w:t>年生均教育培养成本公示表》，我校生均教育培养成本</w:t>
      </w:r>
      <w:r>
        <w:rPr>
          <w:rFonts w:hint="eastAsia" w:ascii="仿宋_GB2312" w:hAnsi="仿宋_GB2312" w:eastAsia="仿宋_GB2312" w:cs="仿宋_GB2312"/>
          <w:color w:val="000000"/>
          <w:sz w:val="32"/>
          <w:szCs w:val="32"/>
          <w:highlight w:val="none"/>
          <w:lang w:val="en-US" w:eastAsia="zh-CN"/>
        </w:rPr>
        <w:t>908</w:t>
      </w:r>
      <w:r>
        <w:rPr>
          <w:rFonts w:hint="eastAsia" w:ascii="仿宋_GB2312" w:hAnsi="仿宋_GB2312" w:eastAsia="仿宋_GB2312" w:cs="仿宋_GB2312"/>
          <w:color w:val="000000"/>
          <w:sz w:val="32"/>
          <w:szCs w:val="32"/>
          <w:highlight w:val="none"/>
        </w:rPr>
        <w:t>0元/年，</w:t>
      </w:r>
      <w:r>
        <w:rPr>
          <w:rFonts w:hint="eastAsia" w:ascii="仿宋_GB2312" w:hAnsi="仿宋_GB2312" w:eastAsia="仿宋_GB2312" w:cs="仿宋_GB2312"/>
          <w:color w:val="000000"/>
          <w:sz w:val="32"/>
          <w:szCs w:val="32"/>
        </w:rPr>
        <w:t>远高于学校收费标准，不利于学校的长远发展，不利于学生的专业成长。所以新增专业收费标准为无人机操控与维护、新能源汽车制造与检测学费</w:t>
      </w:r>
      <w:r>
        <w:rPr>
          <w:rFonts w:hint="eastAsia" w:ascii="仿宋_GB2312" w:hAnsi="仿宋_GB2312" w:eastAsia="仿宋_GB2312" w:cs="仿宋_GB2312"/>
          <w:color w:val="000000"/>
          <w:sz w:val="32"/>
          <w:szCs w:val="32"/>
          <w:lang w:val="en-US" w:eastAsia="zh-CN"/>
        </w:rPr>
        <w:t>13000</w:t>
      </w:r>
      <w:r>
        <w:rPr>
          <w:rFonts w:hint="eastAsia" w:ascii="仿宋_GB2312" w:hAnsi="仿宋_GB2312" w:eastAsia="仿宋_GB2312" w:cs="仿宋_GB2312"/>
          <w:color w:val="000000"/>
          <w:sz w:val="32"/>
          <w:szCs w:val="32"/>
        </w:rPr>
        <w:t>元/年；同时</w:t>
      </w:r>
      <w:r>
        <w:rPr>
          <w:rFonts w:ascii="Times New Roman" w:hAnsi="Times New Roman" w:eastAsia="仿宋" w:cs="Times New Roman"/>
          <w:color w:val="000000"/>
          <w:sz w:val="32"/>
          <w:szCs w:val="32"/>
        </w:rPr>
        <w:t>原有电子商务、</w:t>
      </w:r>
      <w:r>
        <w:rPr>
          <w:rFonts w:hint="eastAsia" w:ascii="Times New Roman" w:hAnsi="Times New Roman" w:eastAsia="仿宋" w:cs="Times New Roman"/>
          <w:color w:val="000000"/>
          <w:sz w:val="32"/>
          <w:szCs w:val="32"/>
          <w:lang w:eastAsia="zh-CN"/>
        </w:rPr>
        <w:t>直播电商服务、</w:t>
      </w:r>
      <w:r>
        <w:rPr>
          <w:rFonts w:ascii="Times New Roman" w:hAnsi="Times New Roman" w:eastAsia="仿宋" w:cs="Times New Roman"/>
          <w:color w:val="000000"/>
          <w:sz w:val="32"/>
          <w:szCs w:val="32"/>
        </w:rPr>
        <w:t>会计事务、旅游服务与管理、高星级酒店运营与管理、美容美体艺术、</w:t>
      </w:r>
      <w:r>
        <w:rPr>
          <w:rFonts w:hint="eastAsia" w:ascii="Times New Roman" w:hAnsi="Times New Roman" w:eastAsia="仿宋" w:cs="Times New Roman"/>
          <w:color w:val="000000"/>
          <w:sz w:val="32"/>
          <w:szCs w:val="32"/>
          <w:lang w:eastAsia="zh-CN"/>
        </w:rPr>
        <w:t>美发与形象设计、</w:t>
      </w:r>
      <w:r>
        <w:rPr>
          <w:rFonts w:ascii="Times New Roman" w:hAnsi="Times New Roman" w:eastAsia="仿宋" w:cs="Times New Roman"/>
          <w:color w:val="000000"/>
          <w:sz w:val="32"/>
          <w:szCs w:val="32"/>
        </w:rPr>
        <w:t>绘画、音乐表演、舞蹈表演1</w:t>
      </w:r>
      <w:r>
        <w:rPr>
          <w:rFonts w:hint="eastAsia" w:ascii="Times New Roman" w:hAnsi="Times New Roman" w:eastAsia="仿宋" w:cs="Times New Roman"/>
          <w:color w:val="000000"/>
          <w:sz w:val="32"/>
          <w:szCs w:val="32"/>
          <w:lang w:val="en-US" w:eastAsia="zh-CN"/>
        </w:rPr>
        <w:t>0</w:t>
      </w:r>
      <w:r>
        <w:rPr>
          <w:rFonts w:ascii="Times New Roman" w:hAnsi="Times New Roman" w:eastAsia="仿宋" w:cs="Times New Roman"/>
          <w:color w:val="000000"/>
          <w:sz w:val="32"/>
          <w:szCs w:val="32"/>
        </w:rPr>
        <w:t>个原有专业在原有收费标准</w:t>
      </w:r>
      <w:r>
        <w:rPr>
          <w:rFonts w:hint="eastAsia" w:ascii="Times New Roman" w:hAnsi="Times New Roman" w:eastAsia="仿宋" w:cs="Times New Roman"/>
          <w:color w:val="000000"/>
          <w:sz w:val="32"/>
          <w:szCs w:val="32"/>
          <w:highlight w:val="none"/>
          <w:lang w:val="en-US" w:eastAsia="zh-CN"/>
        </w:rPr>
        <w:t>5270</w:t>
      </w:r>
      <w:r>
        <w:rPr>
          <w:rFonts w:ascii="Times New Roman" w:hAnsi="Times New Roman" w:eastAsia="仿宋" w:cs="Times New Roman"/>
          <w:color w:val="000000"/>
          <w:sz w:val="32"/>
          <w:szCs w:val="32"/>
        </w:rPr>
        <w:t>元/年基础上提高20%，调整为</w:t>
      </w:r>
      <w:r>
        <w:rPr>
          <w:rFonts w:hint="eastAsia" w:ascii="Times New Roman" w:hAnsi="Times New Roman" w:eastAsia="仿宋" w:cs="Times New Roman"/>
          <w:color w:val="000000"/>
          <w:sz w:val="32"/>
          <w:szCs w:val="32"/>
          <w:highlight w:val="none"/>
          <w:lang w:val="en-US" w:eastAsia="zh-CN"/>
        </w:rPr>
        <w:t>6324</w:t>
      </w:r>
      <w:r>
        <w:rPr>
          <w:rFonts w:ascii="Times New Roman" w:hAnsi="Times New Roman" w:eastAsia="仿宋" w:cs="Times New Roman"/>
          <w:color w:val="000000"/>
          <w:sz w:val="32"/>
          <w:szCs w:val="32"/>
        </w:rPr>
        <w:t>元/年</w:t>
      </w:r>
      <w:r>
        <w:rPr>
          <w:rFonts w:hint="eastAsia" w:ascii="Times New Roman" w:hAnsi="Times New Roman" w:eastAsia="仿宋" w:cs="Times New Roman"/>
          <w:color w:val="000000"/>
          <w:sz w:val="32"/>
          <w:szCs w:val="32"/>
          <w:lang w:val="en-US" w:eastAsia="zh-CN"/>
        </w:rPr>
        <w:t>；网络营销、中餐烹饪、中西面点、动漫与游戏设计</w:t>
      </w:r>
      <w:r>
        <w:rPr>
          <w:rFonts w:ascii="Times New Roman" w:hAnsi="Times New Roman" w:eastAsia="仿宋" w:cs="Times New Roman"/>
          <w:color w:val="000000"/>
          <w:sz w:val="32"/>
          <w:szCs w:val="32"/>
        </w:rPr>
        <w:t>在原有收费标准</w:t>
      </w:r>
      <w:r>
        <w:rPr>
          <w:rFonts w:hint="eastAsia" w:ascii="Times New Roman" w:hAnsi="Times New Roman" w:eastAsia="仿宋" w:cs="Times New Roman"/>
          <w:color w:val="000000"/>
          <w:sz w:val="32"/>
          <w:szCs w:val="32"/>
          <w:highlight w:val="none"/>
          <w:lang w:val="en-US" w:eastAsia="zh-CN"/>
        </w:rPr>
        <w:t>7070</w:t>
      </w:r>
      <w:r>
        <w:rPr>
          <w:rFonts w:ascii="Times New Roman" w:hAnsi="Times New Roman" w:eastAsia="仿宋" w:cs="Times New Roman"/>
          <w:color w:val="000000"/>
          <w:sz w:val="32"/>
          <w:szCs w:val="32"/>
        </w:rPr>
        <w:t>元/年基础上提高20%</w:t>
      </w:r>
      <w:r>
        <w:rPr>
          <w:rFonts w:hint="eastAsia" w:ascii="Times New Roman" w:hAnsi="Times New Roman" w:eastAsia="仿宋" w:cs="Times New Roman"/>
          <w:color w:val="000000"/>
          <w:sz w:val="32"/>
          <w:szCs w:val="32"/>
          <w:lang w:eastAsia="zh-CN"/>
        </w:rPr>
        <w:t>，</w:t>
      </w:r>
      <w:r>
        <w:rPr>
          <w:rFonts w:ascii="Times New Roman" w:hAnsi="Times New Roman" w:eastAsia="仿宋" w:cs="Times New Roman"/>
          <w:color w:val="000000"/>
          <w:sz w:val="32"/>
          <w:szCs w:val="32"/>
        </w:rPr>
        <w:t>调整为</w:t>
      </w:r>
      <w:r>
        <w:rPr>
          <w:rFonts w:hint="eastAsia" w:ascii="Times New Roman" w:hAnsi="Times New Roman" w:eastAsia="仿宋" w:cs="Times New Roman"/>
          <w:color w:val="000000"/>
          <w:sz w:val="32"/>
          <w:szCs w:val="32"/>
          <w:highlight w:val="none"/>
          <w:lang w:val="en-US" w:eastAsia="zh-CN"/>
        </w:rPr>
        <w:t>8484</w:t>
      </w:r>
      <w:r>
        <w:rPr>
          <w:rFonts w:ascii="Times New Roman" w:hAnsi="Times New Roman" w:eastAsia="仿宋" w:cs="Times New Roman"/>
          <w:color w:val="000000"/>
          <w:sz w:val="32"/>
          <w:szCs w:val="32"/>
        </w:rPr>
        <w:t>元/年</w:t>
      </w:r>
      <w:r>
        <w:rPr>
          <w:rFonts w:hint="eastAsia" w:ascii="Times New Roman" w:hAnsi="Times New Roman" w:eastAsia="仿宋" w:cs="Times New Roman"/>
          <w:color w:val="000000"/>
          <w:sz w:val="32"/>
          <w:szCs w:val="32"/>
          <w:lang w:eastAsia="zh-CN"/>
        </w:rPr>
        <w:t>，界面设计与制作</w:t>
      </w:r>
      <w:r>
        <w:rPr>
          <w:rFonts w:ascii="Times New Roman" w:hAnsi="Times New Roman" w:eastAsia="仿宋" w:cs="Times New Roman"/>
          <w:color w:val="000000"/>
          <w:sz w:val="32"/>
          <w:szCs w:val="32"/>
        </w:rPr>
        <w:t>在原有收费标准</w:t>
      </w:r>
      <w:r>
        <w:rPr>
          <w:rFonts w:hint="eastAsia" w:ascii="Times New Roman" w:hAnsi="Times New Roman" w:eastAsia="仿宋" w:cs="Times New Roman"/>
          <w:color w:val="000000"/>
          <w:sz w:val="32"/>
          <w:szCs w:val="32"/>
          <w:highlight w:val="none"/>
          <w:lang w:val="en-US" w:eastAsia="zh-CN"/>
        </w:rPr>
        <w:t>5400</w:t>
      </w:r>
      <w:r>
        <w:rPr>
          <w:rFonts w:ascii="Times New Roman" w:hAnsi="Times New Roman" w:eastAsia="仿宋" w:cs="Times New Roman"/>
          <w:color w:val="000000"/>
          <w:sz w:val="32"/>
          <w:szCs w:val="32"/>
        </w:rPr>
        <w:t>元/年基础上提高20%，调整为</w:t>
      </w:r>
      <w:r>
        <w:rPr>
          <w:rFonts w:hint="eastAsia" w:ascii="Times New Roman" w:hAnsi="Times New Roman" w:eastAsia="仿宋" w:cs="Times New Roman"/>
          <w:color w:val="000000"/>
          <w:sz w:val="32"/>
          <w:szCs w:val="32"/>
          <w:highlight w:val="none"/>
          <w:lang w:val="en-US" w:eastAsia="zh-CN"/>
        </w:rPr>
        <w:t>6480</w:t>
      </w:r>
      <w:r>
        <w:rPr>
          <w:rFonts w:ascii="Times New Roman" w:hAnsi="Times New Roman" w:eastAsia="仿宋" w:cs="Times New Roman"/>
          <w:color w:val="000000"/>
          <w:sz w:val="32"/>
          <w:szCs w:val="32"/>
        </w:rPr>
        <w:t>元/</w:t>
      </w:r>
      <w:r>
        <w:rPr>
          <w:rFonts w:hint="eastAsia" w:ascii="Times New Roman" w:hAnsi="Times New Roman" w:eastAsia="仿宋" w:cs="Times New Roman"/>
          <w:color w:val="000000"/>
          <w:sz w:val="32"/>
          <w:szCs w:val="32"/>
          <w:lang w:eastAsia="zh-CN"/>
        </w:rPr>
        <w:t>学期</w:t>
      </w:r>
      <w:r>
        <w:rPr>
          <w:rFonts w:ascii="Times New Roman" w:hAnsi="Times New Roman" w:eastAsia="仿宋" w:cs="Times New Roman"/>
          <w:color w:val="000000"/>
          <w:sz w:val="32"/>
          <w:szCs w:val="32"/>
        </w:rPr>
        <w:t>。</w:t>
      </w:r>
    </w:p>
    <w:p w14:paraId="07248F9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三、保障措施</w:t>
      </w:r>
    </w:p>
    <w:p w14:paraId="0BB4B165">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b/>
          <w:color w:val="000000"/>
          <w:sz w:val="32"/>
          <w:szCs w:val="32"/>
        </w:rPr>
      </w:pPr>
      <w:r>
        <w:rPr>
          <w:rFonts w:hint="eastAsia" w:ascii="仿宋_GB2312" w:hAnsi="仿宋_GB2312" w:eastAsia="仿宋_GB2312" w:cs="仿宋_GB2312"/>
          <w:b/>
          <w:color w:val="000000"/>
          <w:sz w:val="32"/>
          <w:szCs w:val="32"/>
        </w:rPr>
        <w:t>（一）教学改善措施</w:t>
      </w:r>
    </w:p>
    <w:p w14:paraId="03EC214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1.学校计算机中心现有机房</w:t>
      </w:r>
      <w:r>
        <w:rPr>
          <w:rFonts w:hint="eastAsia" w:ascii="仿宋_GB2312" w:hAnsi="仿宋_GB2312" w:eastAsia="仿宋_GB2312" w:cs="仿宋_GB2312"/>
          <w:color w:val="000000"/>
          <w:sz w:val="32"/>
          <w:szCs w:val="32"/>
          <w:lang w:val="en-US" w:eastAsia="zh-CN"/>
        </w:rPr>
        <w:t>4</w:t>
      </w:r>
      <w:r>
        <w:rPr>
          <w:rFonts w:hint="eastAsia" w:ascii="仿宋_GB2312" w:hAnsi="仿宋_GB2312" w:eastAsia="仿宋_GB2312" w:cs="仿宋_GB2312"/>
          <w:color w:val="000000"/>
          <w:sz w:val="32"/>
          <w:szCs w:val="32"/>
        </w:rPr>
        <w:t>个，电脑</w:t>
      </w:r>
      <w:r>
        <w:rPr>
          <w:rFonts w:hint="eastAsia" w:ascii="仿宋_GB2312" w:hAnsi="仿宋_GB2312" w:eastAsia="仿宋_GB2312" w:cs="仿宋_GB2312"/>
          <w:color w:val="000000"/>
          <w:sz w:val="32"/>
          <w:szCs w:val="32"/>
          <w:lang w:val="en-US" w:eastAsia="zh-CN"/>
        </w:rPr>
        <w:t>300台</w:t>
      </w:r>
      <w:r>
        <w:rPr>
          <w:rFonts w:hint="eastAsia" w:ascii="仿宋_GB2312" w:hAnsi="仿宋_GB2312" w:eastAsia="仿宋_GB2312" w:cs="仿宋_GB2312"/>
          <w:color w:val="000000"/>
          <w:sz w:val="32"/>
          <w:szCs w:val="32"/>
        </w:rPr>
        <w:t>。学校加大投入，新建</w:t>
      </w:r>
      <w:r>
        <w:rPr>
          <w:rFonts w:hint="eastAsia" w:ascii="仿宋_GB2312" w:hAnsi="仿宋_GB2312" w:eastAsia="仿宋_GB2312" w:cs="仿宋_GB2312"/>
          <w:color w:val="000000"/>
          <w:sz w:val="32"/>
          <w:szCs w:val="32"/>
          <w:lang w:eastAsia="zh-CN"/>
        </w:rPr>
        <w:t>实训室</w:t>
      </w:r>
      <w:r>
        <w:rPr>
          <w:rFonts w:hint="eastAsia" w:ascii="仿宋_GB2312" w:hAnsi="仿宋_GB2312" w:eastAsia="仿宋_GB2312" w:cs="仿宋_GB2312"/>
          <w:color w:val="000000"/>
          <w:sz w:val="32"/>
          <w:szCs w:val="32"/>
          <w:lang w:val="en-US" w:eastAsia="zh-CN"/>
        </w:rPr>
        <w:t>7个：</w:t>
      </w:r>
      <w:r>
        <w:rPr>
          <w:rFonts w:hint="eastAsia" w:ascii="仿宋_GB2312" w:hAnsi="仿宋_GB2312" w:eastAsia="仿宋_GB2312" w:cs="仿宋_GB2312"/>
          <w:sz w:val="32"/>
          <w:szCs w:val="32"/>
          <w:lang w:val="en-US" w:eastAsia="zh-CN"/>
        </w:rPr>
        <w:t>新能源汽车实训室、机器人实训室、无人机实训室、机电一体化实训室、电器自动化实训室、AI人工智能实训室、医学护理实训室</w:t>
      </w:r>
      <w:r>
        <w:rPr>
          <w:rFonts w:hint="eastAsia" w:cs="宋体"/>
          <w:sz w:val="24"/>
          <w:szCs w:val="24"/>
          <w:lang w:val="en-US" w:eastAsia="zh-CN"/>
        </w:rPr>
        <w:t>。</w:t>
      </w:r>
      <w:r>
        <w:rPr>
          <w:rFonts w:hint="eastAsia" w:ascii="仿宋_GB2312" w:hAnsi="仿宋_GB2312" w:eastAsia="仿宋_GB2312" w:cs="仿宋_GB2312"/>
          <w:color w:val="000000"/>
          <w:sz w:val="32"/>
          <w:szCs w:val="32"/>
          <w:lang w:eastAsia="zh-CN"/>
        </w:rPr>
        <w:t>翻新电子商务、直播电商、美容美体、美发与形象设计等专业实训室</w:t>
      </w:r>
      <w:r>
        <w:rPr>
          <w:rFonts w:hint="eastAsia" w:ascii="仿宋_GB2312" w:hAnsi="仿宋_GB2312" w:eastAsia="仿宋_GB2312" w:cs="仿宋_GB2312"/>
          <w:color w:val="000000"/>
          <w:sz w:val="32"/>
          <w:szCs w:val="32"/>
          <w:lang w:val="en-US" w:eastAsia="zh-CN"/>
        </w:rPr>
        <w:t>10</w:t>
      </w:r>
      <w:r>
        <w:rPr>
          <w:rFonts w:hint="eastAsia" w:ascii="仿宋_GB2312" w:hAnsi="仿宋_GB2312" w:eastAsia="仿宋_GB2312" w:cs="仿宋_GB2312"/>
          <w:color w:val="000000"/>
          <w:sz w:val="32"/>
          <w:szCs w:val="32"/>
        </w:rPr>
        <w:t>间。不断改善实验实训环境，增加实训设施设备，加快校外基地建设，扩展实训基地，为学生提供更多、更好、更舒适的学习环境。同时持续开展教育信息化建设，不断创新学生工作机制，开拓毕业生创业就业渠道，建立学生多元化发展的培养机制。</w:t>
      </w:r>
    </w:p>
    <w:p w14:paraId="4B13363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学校加大人才引进力度，不断提高教师薪资待遇，不断改善教师工作环境；学校加强校本培训，大力开展教科研活动，采取走出去、请进来的策略，不断提高教师教学水平，不断提升教师教学能力；学校努力培养双师型教师，积极组织参加国培学习，组织教师参加教师和班主任能力大赛，以赛代训，不断提高教育教学质量，坚持以人为本、厚德强基，坚持面向市场、服务社会，为赣州融入大湾区建设培养合格的职业人才。</w:t>
      </w:r>
    </w:p>
    <w:p w14:paraId="1922D81E">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（二）学校内部管理和应急预案</w:t>
      </w:r>
    </w:p>
    <w:p w14:paraId="5FCEA8B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1.学校组织相关人员认真学习上级有关部门关于规范学校收费管理工作的文件精神，根据学校实际和市场需求研究确定新增专业收费项目和标准。</w:t>
      </w:r>
    </w:p>
    <w:p w14:paraId="6462627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按《江西教育厅、江西省发展改革委、江西省市场监管局关于规范非营利性民办学校收费管理工作的通知》，我校将新增专业收费标准和提高原有专业收费标准实施方案、和近两年的学生学费、住宿费收支情况在学校官网和公告栏进行公示；</w:t>
      </w:r>
    </w:p>
    <w:p w14:paraId="40FAF89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3.设立专门的工作小组负责咨询解释，由办公室牵头，财务处、学工处配合解释说明，正面引导，确保不因价格调整出现舆情舆论。</w:t>
      </w:r>
    </w:p>
    <w:p w14:paraId="24D8DFF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4.召开新增专业收费标准和提高原有专业收费标准的座谈会，虚心听取各方意见。</w:t>
      </w:r>
    </w:p>
    <w:p w14:paraId="478DA9F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我校将严格按照相关政策文件并结合实际情况组织实施收费管理工作，不超出公示标准金额收费，不增加项目乱收费，全程接受赣州市蓉江新区社管局、经管局监督管理，把学校办成学生满意、家长放心和社会认可的民办中职学校。</w:t>
      </w:r>
    </w:p>
    <w:p w14:paraId="1A90C161">
      <w:pPr>
        <w:adjustRightInd w:val="0"/>
        <w:snapToGrid w:val="0"/>
        <w:spacing w:line="560" w:lineRule="exact"/>
        <w:rPr>
          <w:rFonts w:eastAsia="仿宋"/>
          <w:color w:val="000000"/>
          <w:sz w:val="32"/>
          <w:szCs w:val="32"/>
        </w:rPr>
      </w:pPr>
    </w:p>
    <w:p w14:paraId="26C5C855">
      <w:pPr>
        <w:adjustRightInd w:val="0"/>
        <w:snapToGrid w:val="0"/>
        <w:spacing w:line="560" w:lineRule="exact"/>
        <w:rPr>
          <w:rFonts w:eastAsia="仿宋"/>
          <w:color w:val="000000"/>
          <w:sz w:val="32"/>
          <w:szCs w:val="32"/>
        </w:rPr>
      </w:pPr>
    </w:p>
    <w:p w14:paraId="3BADBEB1">
      <w:pPr>
        <w:adjustRightInd w:val="0"/>
        <w:snapToGrid w:val="0"/>
        <w:spacing w:line="560" w:lineRule="exact"/>
        <w:ind w:firstLine="640" w:firstLineChars="200"/>
        <w:jc w:val="right"/>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t>赣州市工贸科技中等职业学校</w:t>
      </w:r>
    </w:p>
    <w:p w14:paraId="480CB002">
      <w:pPr>
        <w:adjustRightInd w:val="0"/>
        <w:snapToGrid w:val="0"/>
        <w:spacing w:line="560" w:lineRule="exact"/>
        <w:ind w:firstLine="640" w:firstLineChars="200"/>
        <w:jc w:val="right"/>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202</w:t>
      </w:r>
      <w:r>
        <w:rPr>
          <w:rFonts w:hint="eastAsia" w:ascii="仿宋_GB2312" w:hAnsi="仿宋_GB2312" w:eastAsia="仿宋_GB2312" w:cs="仿宋_GB2312"/>
          <w:color w:val="000000"/>
          <w:sz w:val="32"/>
          <w:szCs w:val="32"/>
          <w:lang w:val="en-US" w:eastAsia="zh-CN"/>
        </w:rPr>
        <w:t>6</w:t>
      </w:r>
      <w:r>
        <w:rPr>
          <w:rFonts w:hint="eastAsia" w:ascii="仿宋_GB2312" w:hAnsi="仿宋_GB2312" w:eastAsia="仿宋_GB2312" w:cs="仿宋_GB2312"/>
          <w:color w:val="000000"/>
          <w:sz w:val="32"/>
          <w:szCs w:val="32"/>
        </w:rPr>
        <w:t>年5月</w:t>
      </w: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6"/>
          <w:szCs w:val="36"/>
          <w:lang w:val="en-US" w:eastAsia="zh-CN"/>
        </w:rPr>
        <w:t>2</w:t>
      </w:r>
      <w:r>
        <w:rPr>
          <w:rFonts w:hint="eastAsia" w:ascii="仿宋_GB2312" w:hAnsi="仿宋_GB2312" w:eastAsia="仿宋_GB2312" w:cs="仿宋_GB2312"/>
          <w:color w:val="000000"/>
          <w:sz w:val="32"/>
          <w:szCs w:val="32"/>
        </w:rPr>
        <w:t>日</w:t>
      </w:r>
    </w:p>
    <w:p w14:paraId="2CBBB5A4">
      <w:pPr>
        <w:rPr>
          <w:rFonts w:hint="eastAsia" w:ascii="仿宋_GB2312" w:hAnsi="仿宋_GB2312" w:eastAsia="仿宋_GB2312" w:cs="仿宋_GB2312"/>
          <w:sz w:val="32"/>
          <w:szCs w:val="32"/>
        </w:rPr>
      </w:pPr>
    </w:p>
    <w:sectPr>
      <w:pgSz w:w="11906" w:h="16838"/>
      <w:pgMar w:top="2098" w:right="1474" w:bottom="1984"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1" w:fontKey="{40E6EDE4-0115-42CA-BB73-FF2A04CD6768}"/>
  </w:font>
  <w:font w:name="仿宋_GB2312">
    <w:panose1 w:val="02010609030101010101"/>
    <w:charset w:val="86"/>
    <w:family w:val="auto"/>
    <w:pitch w:val="default"/>
    <w:sig w:usb0="00000001" w:usb1="080E0000" w:usb2="00000000" w:usb3="00000000" w:csb0="00040000" w:csb1="00000000"/>
    <w:embedRegular r:id="rId2" w:fontKey="{50619EAE-E53B-4FB6-9914-24DEAB17BBFD}"/>
  </w:font>
  <w:font w:name="方正公文小标宋">
    <w:panose1 w:val="02000500000000000000"/>
    <w:charset w:val="86"/>
    <w:family w:val="auto"/>
    <w:pitch w:val="default"/>
    <w:sig w:usb0="A00002BF" w:usb1="38CF7CFA" w:usb2="00000016" w:usb3="00000000" w:csb0="00040001" w:csb1="00000000"/>
    <w:embedRegular r:id="rId3" w:fontKey="{088A2ECD-1B99-484E-99A8-647811D8D660}"/>
  </w:font>
  <w:font w:name="方正小标宋简体">
    <w:panose1 w:val="00000600000000000000"/>
    <w:charset w:val="86"/>
    <w:family w:val="auto"/>
    <w:pitch w:val="default"/>
    <w:sig w:usb0="800002BF" w:usb1="184F6CF8" w:usb2="00000012" w:usb3="00000000" w:csb0="00160001" w:csb1="12030000"/>
    <w:embedRegular r:id="rId4" w:fontKey="{DB7B8A78-45BC-4A95-9D8F-575019961195}"/>
  </w:font>
  <w:font w:name="仿宋">
    <w:panose1 w:val="02010609060101010101"/>
    <w:charset w:val="86"/>
    <w:family w:val="modern"/>
    <w:pitch w:val="default"/>
    <w:sig w:usb0="800002BF" w:usb1="38CF7CFA" w:usb2="00000016" w:usb3="00000000" w:csb0="00040001" w:csb1="00000000"/>
    <w:embedRegular r:id="rId5" w:fontKey="{9287BB95-5B50-4BA3-9076-2281FA9B743C}"/>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CF8F03"/>
    <w:multiLevelType w:val="singleLevel"/>
    <w:tmpl w:val="93CF8F03"/>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47820C8"/>
    <w:rsid w:val="174703CA"/>
    <w:rsid w:val="295A5B0B"/>
    <w:rsid w:val="2FB2447E"/>
    <w:rsid w:val="547820C8"/>
    <w:rsid w:val="78C5750A"/>
    <w:rsid w:val="7BA14F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paragraph" w:styleId="6">
    <w:name w:val="List Paragraph"/>
    <w:basedOn w:val="1"/>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1713</Words>
  <Characters>1804</Characters>
  <Lines>0</Lines>
  <Paragraphs>0</Paragraphs>
  <TotalTime>1</TotalTime>
  <ScaleCrop>false</ScaleCrop>
  <LinksUpToDate>false</LinksUpToDate>
  <CharactersWithSpaces>1804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2026-05-18T04:38:00Z</dcterms:created>
  <dc:creator>* Sunshine</dc:creator>
  <cp:lastModifiedBy>* Sunshine</cp:lastModifiedBy>
  <dcterms:modified xsi:type="dcterms:W3CDTF">2026-05-18T07:38:23Z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3354B10C597D49E28CEF6E77C9905C3C_13</vt:lpwstr>
  </property>
  <property fmtid="{D5CDD505-2E9C-101B-9397-08002B2CF9AE}" pid="4" name="KSOTemplateDocerSaveRecord">
    <vt:lpwstr>eyJoZGlkIjoiZmVlZTY4OWQ2YzY1OTlmODAxNTk0ZjYxMTc2YTM3ZGYiLCJ1c2VySWQiOiI0NDEzMjUzODMifQ==</vt:lpwstr>
  </property>
</Properties>
</file>